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c>
          <w:tcPr>
            <w:tcW w:w="9838" w:type="dxa"/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 VHA 7.6.1c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Studien und Investitionen zur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Erhaltung, Wiederherstellung und Verbesserung des natürlichen Erbes - Forst</w:t>
            </w:r>
          </w:p>
        </w:tc>
      </w:tr>
    </w:tbl>
    <w:p/>
    <w:p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1134"/>
      </w:tblGrid>
      <w:tr>
        <w:trPr>
          <w:trHeight w:hRule="exact" w:val="312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83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Unterliegt der Förderungswerber dem Bundesvergabegesetz (BVergG)?</w:t>
            </w:r>
            <w:r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126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</w:tr>
    </w:tbl>
    <w:p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2693"/>
        <w:gridCol w:w="709"/>
        <w:gridCol w:w="2410"/>
        <w:gridCol w:w="709"/>
        <w:gridCol w:w="918"/>
        <w:gridCol w:w="499"/>
      </w:tblGrid>
      <w:tr>
        <w:trPr>
          <w:trHeight w:hRule="exact" w:val="312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. Angaben zu den Zugangsvoraussetzungen zur VHA 7.6.1c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7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Befindet sich das geplante Vorhaben im ländlichen Gebiet?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7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Vorhaben steht in Einklang mit:</w:t>
            </w:r>
            <w:r>
              <w:rPr>
                <w:rStyle w:val="Funotenzeichen"/>
                <w:rFonts w:cs="Arial"/>
                <w:b/>
              </w:rPr>
              <w:footnoteReference w:id="1"/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18194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naturschutzfachlichen Zielsetzungen</w:t>
            </w:r>
          </w:p>
        </w:tc>
        <w:sdt>
          <w:sdtPr>
            <w:rPr>
              <w:rFonts w:cs="Arial"/>
            </w:rPr>
            <w:id w:val="21024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FFH-Richtlinie (92/43/EWG)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20128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Vogelschutz-Richtlinie ((2009/147/EG)</w:t>
            </w:r>
          </w:p>
        </w:tc>
        <w:sdt>
          <w:sdtPr>
            <w:rPr>
              <w:rFonts w:cs="Arial"/>
            </w:rPr>
            <w:id w:val="-58614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Nationalparkstrategie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337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Nationalparkstrategie</w:t>
            </w:r>
          </w:p>
        </w:tc>
        <w:sdt>
          <w:sdtPr>
            <w:rPr>
              <w:rFonts w:cs="Arial"/>
            </w:rPr>
            <w:id w:val="128577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Strategien der Natur- und Biosphärenparks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21"/>
        </w:trPr>
        <w:sdt>
          <w:sdtPr>
            <w:rPr>
              <w:rFonts w:cs="Arial"/>
            </w:rPr>
            <w:id w:val="-102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dem Österreichischen Waldprogramm / der österreichischen Waldstrategie</w:t>
            </w:r>
          </w:p>
        </w:tc>
        <w:sdt>
          <w:sdtPr>
            <w:rPr>
              <w:rFonts w:cs="Arial"/>
            </w:rPr>
            <w:id w:val="195597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der Nationalen Biodiversitätsstrategie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634"/>
        </w:trPr>
        <w:sdt>
          <w:sdtPr>
            <w:rPr>
              <w:rFonts w:cs="Arial"/>
            </w:rPr>
            <w:id w:val="5371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7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Soweit das Vorhaben </w:t>
            </w:r>
            <w:r>
              <w:rPr>
                <w:rFonts w:cs="Arial"/>
                <w:b/>
              </w:rPr>
              <w:t>Investitionen</w:t>
            </w:r>
            <w:r>
              <w:rPr>
                <w:rFonts w:cs="Arial"/>
              </w:rPr>
              <w:t xml:space="preserve"> betrifft: </w:t>
            </w:r>
          </w:p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Handelt es sich um eine kleine Infrastruktur im Sinne des Art. 20 Abs. 2 der Verordnung (EU) Nr. 1303/2013? (Die Gesamtkosten des Vorhabens dürfen </w:t>
            </w:r>
            <w:r>
              <w:rPr>
                <w:rFonts w:cs="Arial"/>
                <w:b/>
              </w:rPr>
              <w:t xml:space="preserve">2.500.000 € netto </w:t>
            </w:r>
            <w:r>
              <w:rPr>
                <w:rFonts w:cs="Arial"/>
              </w:rPr>
              <w:t>nicht übersteigen).</w:t>
            </w:r>
            <w:r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9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64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</w:tbl>
    <w:p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1134"/>
        <w:gridCol w:w="993"/>
        <w:gridCol w:w="567"/>
        <w:gridCol w:w="567"/>
        <w:gridCol w:w="992"/>
        <w:gridCol w:w="142"/>
        <w:gridCol w:w="567"/>
        <w:gridCol w:w="918"/>
        <w:gridCol w:w="499"/>
      </w:tblGrid>
      <w:tr>
        <w:trPr>
          <w:trHeight w:hRule="exact" w:val="312"/>
        </w:trPr>
        <w:tc>
          <w:tcPr>
            <w:tcW w:w="98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. Angaben zu den Auswahlkriterien zur VHA 7.6.1c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Überregionale Bedeutung des Projektes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4303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bezirksweit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3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landesweit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06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bundesweit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spezifisch notwendige Methodenwissen: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2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1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spezifisch notwendige Vorerfahrung: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942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249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Datenmanagement</w:t>
            </w:r>
            <w:r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009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nicht gesichert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203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gesichert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K4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771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erwartbare adäquate Vermittlung der Projektergebnisse</w:t>
            </w:r>
            <w:r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46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4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>
        <w:trPr>
          <w:trHeight w:val="234"/>
        </w:trPr>
        <w:tc>
          <w:tcPr>
            <w:tcW w:w="93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Kooperation mit fachlich bezughabenden Institutionen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K6</w:t>
            </w:r>
          </w:p>
        </w:tc>
      </w:tr>
      <w:tr>
        <w:trPr>
          <w:trHeight w:val="911"/>
        </w:trPr>
        <w:tc>
          <w:tcPr>
            <w:tcW w:w="3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Angabe der Kooperationspartner:</w:t>
            </w:r>
          </w:p>
        </w:tc>
        <w:tc>
          <w:tcPr>
            <w:tcW w:w="637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Synergien mit Forschungs- und Ausbildungsstätten</w:t>
            </w:r>
            <w:r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6166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keine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999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eine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699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mehrere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</w:pPr>
            <w:r>
              <w:rPr>
                <w:rFonts w:cs="Arial"/>
                <w:b/>
              </w:rPr>
              <w:t>K7</w:t>
            </w:r>
          </w:p>
        </w:tc>
      </w:tr>
    </w:tbl>
    <w:p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rPr>
          <w:trHeight w:hRule="exact" w:val="379"/>
        </w:trPr>
        <w:tc>
          <w:tcPr>
            <w:tcW w:w="9838" w:type="dxa"/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lastRenderedPageBreak/>
              <w:t>4. geplantes Vorhaben - Zuordnung zum Fördergegenstand</w:t>
            </w:r>
          </w:p>
        </w:tc>
      </w:tr>
      <w:tr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</w:tbl>
    <w:tbl>
      <w:tblPr>
        <w:tblStyle w:val="Tabellenraster6"/>
        <w:tblW w:w="9838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1134"/>
      </w:tblGrid>
      <w:tr>
        <w:trPr>
          <w:trHeight w:val="83"/>
        </w:trPr>
        <w:tc>
          <w:tcPr>
            <w:tcW w:w="7712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handelt sich um ein bundesländerübergreifendes Vorhaben oder um ein Vorhaben mit bundesweiter Relevanz.</w:t>
            </w:r>
            <w:r>
              <w:rPr>
                <w:rStyle w:val="Funotenzeichen"/>
                <w:rFonts w:cs="Arial"/>
              </w:rPr>
              <w:footnoteReference w:id="6"/>
            </w:r>
            <w:r>
              <w:rPr>
                <w:rFonts w:cs="Arial"/>
              </w:rPr>
              <w:tab/>
            </w:r>
          </w:p>
        </w:tc>
        <w:tc>
          <w:tcPr>
            <w:tcW w:w="992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912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47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</w:tr>
    </w:tbl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9214"/>
      </w:tblGrid>
      <w:tr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21.2.1 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9246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Monitoring, Fallstudien, sonstige Konzepte, Studien oder Grundlagenarbeiten zu biodivers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>tätsrelevanten Themen, projektbezogene Betreuungstätigkeiten im Zusammenhang mit der Initiierung, Planung und Umsetzung komplexer Natuschutzvorhaben</w:t>
            </w:r>
          </w:p>
        </w:tc>
      </w:tr>
      <w:tr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FG 21.2.2 Bewusstseinsbildung und Wissensvermittlung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54714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1. Öffentlichkeitsarbeit und Bewusstseinsbildung: Veranstaltungen und Materialien, Wor</w:t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shops, Tagungen, Informationsveranstaltungen, Pressearbeit, Sendungen in Rundfunk und Fernsehen, Seminare, Folder, Plakate, Videos, Apps, Websites, sonstiges Begleitmaterial und Bewusstseinsbildung der Stakeholder und BewirtschafterInnen, sowie der breiten Ö</w:t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fentlichkeit.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194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2. Betriebsbesuche und Beratungen, Geländebegehungen, geführte Wanderungen, Wor</w:t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shops, Tagungen und sonstige Informationsveranstaltungen.</w:t>
            </w:r>
          </w:p>
        </w:tc>
      </w:tr>
      <w:tr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br w:type="page"/>
            </w:r>
            <w:r>
              <w:rPr>
                <w:rFonts w:cs="Arial"/>
                <w:b/>
              </w:rPr>
              <w:t>FG 21.2.3 Investitionen zum Schutz der biologischen Vielfalt im ländlichen Raum: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13001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1. Verbesserung oder Wiederherstellung wertvoller Lebensräume, Wiederherstellung oder Neuanlage wertvoller kulturlandschaftsprägender Objekte; Neuanlage oder Wiederherste</w:t>
            </w:r>
            <w:r>
              <w:rPr>
                <w:rFonts w:cs="Arial"/>
              </w:rPr>
              <w:t>l</w:t>
            </w:r>
            <w:r>
              <w:rPr>
                <w:rFonts w:cs="Arial"/>
              </w:rPr>
              <w:t>lung von Lebensräumen für zu schützende Tier- und Pflanzenarten;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491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2. Herstellung von Objekten, welche die Funktion einer Fortpflanzungs- oder Ruhestätte oder zur Biotopvernetzung für zu schützende Arten bereitstellen;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505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3. Aufwendungen und grundbücherliche Sicherstellung für Grunderwerb, Anpachtung von Flächen</w:t>
            </w:r>
            <w:r>
              <w:rPr>
                <w:rStyle w:val="Funotenzeichen"/>
                <w:rFonts w:cs="Arial"/>
              </w:rPr>
              <w:footnoteReference w:id="7"/>
            </w:r>
            <w:r>
              <w:rPr>
                <w:rFonts w:cs="Arial"/>
              </w:rPr>
              <w:t xml:space="preserve"> oder Erwerb von Nutzungsrechten, die für die Sicherung oder Entwicklung natu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>schutzfachlich wertvoller Flächen oder Strukturen erforderlich sind. Im Grundbuch ist eine Reallast zu Gunsten der naturschutzfachlichen Nutzung einzutragen.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0507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4. Konzeptionen von und Investitionen in Anlagen und Objekte, die der landschaftsgebund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nen Erholung, der Besucherlenkung und der Wissensvermittlung, der Inwertsetzung von Gebieten mit hohem Naturwert sowie der Information und Bewusstseinsbildung dienen.</w:t>
            </w:r>
          </w:p>
        </w:tc>
      </w:tr>
    </w:tbl>
    <w:p>
      <w:pPr>
        <w:rPr>
          <w:b/>
        </w:rPr>
      </w:pPr>
    </w:p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14"/>
      </w:tblGrid>
      <w:tr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  <w:rPr>
                <w:b/>
              </w:rPr>
            </w:pPr>
            <w:r>
              <w:rPr>
                <w:b/>
              </w:rPr>
              <w:t>5. Evaluierungsdaten</w:t>
            </w:r>
          </w:p>
        </w:tc>
      </w:tr>
      <w:tr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line="264" w:lineRule="auto"/>
              <w:rPr>
                <w:b/>
              </w:rPr>
            </w:pPr>
            <w:r>
              <w:rPr>
                <w:b/>
              </w:rPr>
              <w:t>Welche Vorhabensziele, nach SRL, sollen mit dem Projekt erreicht werden?</w:t>
            </w:r>
          </w:p>
        </w:tc>
      </w:tr>
      <w:tr>
        <w:trPr>
          <w:trHeight w:val="411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-5017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Erhaltung, Verbesserung und Wiederherstellung von Lebensraumtypen/Arten der FFH bzw. VS Richtlinie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-4194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Verbesserung des Wissensstandes von schützenswerten Lebensraumtypen bzw. Arten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11947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Erhöhung der Kompetenz im Naturraummanagement oder Inwertsetzung für den Naturschutz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2413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Bewusstseinsbildung für die Ziele des Naturschutzes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995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Schutzgebietsmanagement</w:t>
            </w:r>
          </w:p>
        </w:tc>
      </w:tr>
    </w:tbl>
    <w:p/>
    <w:p/>
    <w:p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rPr>
          <w:trHeight w:val="312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line="264" w:lineRule="auto"/>
              <w:rPr>
                <w:b/>
              </w:rPr>
            </w:pPr>
            <w:r>
              <w:rPr>
                <w:b/>
              </w:rPr>
              <w:t>Welche Vorhabensziele, nach SRL, sollen mit dem Projekt erreicht werden?</w:t>
            </w:r>
          </w:p>
        </w:tc>
      </w:tr>
      <w:tr>
        <w:trPr>
          <w:trHeight w:val="845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</w:p>
        </w:tc>
      </w:tr>
    </w:tbl>
    <w:p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2"/>
        <w:gridCol w:w="851"/>
        <w:gridCol w:w="1134"/>
        <w:gridCol w:w="850"/>
        <w:gridCol w:w="142"/>
        <w:gridCol w:w="567"/>
        <w:gridCol w:w="709"/>
        <w:gridCol w:w="567"/>
        <w:gridCol w:w="850"/>
        <w:gridCol w:w="425"/>
        <w:gridCol w:w="142"/>
        <w:gridCol w:w="567"/>
        <w:gridCol w:w="2268"/>
      </w:tblGrid>
      <w:tr>
        <w:trPr>
          <w:trHeight w:val="312"/>
        </w:trPr>
        <w:tc>
          <w:tcPr>
            <w:tcW w:w="9838" w:type="dxa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line="264" w:lineRule="auto"/>
              <w:rPr>
                <w:b/>
              </w:rPr>
            </w:pPr>
            <w:r>
              <w:rPr>
                <w:b/>
              </w:rPr>
              <w:t>Gemeinden auf welche das Projekt Auswirkungen hat (Angabe der GKZ/Gemeinde)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838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r>
              <w:t xml:space="preserve">Wenn </w:t>
            </w:r>
            <w:r>
              <w:rPr>
                <w:b/>
                <w:u w:val="single"/>
              </w:rPr>
              <w:t>alle</w:t>
            </w:r>
            <w:r>
              <w:t xml:space="preserve"> Gemeinden einzelner politischer Bezirke betroffen sind: Angabe der betroffenen Bezirke</w:t>
            </w:r>
          </w:p>
        </w:tc>
      </w:tr>
      <w:tr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838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>
            <w:r>
              <w:t xml:space="preserve">Wenn </w:t>
            </w:r>
            <w:r>
              <w:rPr>
                <w:b/>
                <w:u w:val="single"/>
              </w:rPr>
              <w:t>alle</w:t>
            </w:r>
            <w:r>
              <w:t xml:space="preserve"> Gemeinden eines Landes betroffen sind: Angabe des Landes</w:t>
            </w: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</w:tr>
    </w:tbl>
    <w:p/>
    <w:p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843"/>
        <w:gridCol w:w="4111"/>
        <w:gridCol w:w="425"/>
        <w:gridCol w:w="992"/>
        <w:gridCol w:w="284"/>
        <w:gridCol w:w="1984"/>
      </w:tblGrid>
      <w:tr>
        <w:trPr>
          <w:trHeight w:val="312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</w:pPr>
            <w:r>
              <w:rPr>
                <w:b/>
                <w:sz w:val="24"/>
                <w:szCs w:val="24"/>
              </w:rPr>
              <w:t>Beilagen zum Vorhabensdatenblatt 7.6.1c</w:t>
            </w:r>
          </w:p>
        </w:tc>
      </w:tr>
      <w:tr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Detaillierte Projektbeschreibung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De-minimis-Erklärung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Vorhabensdatenblatt VHA 7.6.1c_V1_27.07.2016</w:t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Mehrfachnennungen möglich</w:t>
      </w:r>
    </w:p>
  </w:footnote>
  <w:footnote w:id="2">
    <w:p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 xml:space="preserve">Wenn es sich bei dem Vorhaben </w:t>
      </w:r>
      <w:r>
        <w:rPr>
          <w:b/>
          <w:sz w:val="18"/>
        </w:rPr>
        <w:t>nicht</w:t>
      </w:r>
      <w:r>
        <w:rPr>
          <w:sz w:val="18"/>
        </w:rPr>
        <w:t xml:space="preserve"> um </w:t>
      </w:r>
      <w:r>
        <w:rPr>
          <w:b/>
          <w:sz w:val="18"/>
        </w:rPr>
        <w:t>eine Investition</w:t>
      </w:r>
      <w:r>
        <w:rPr>
          <w:sz w:val="18"/>
        </w:rPr>
        <w:t xml:space="preserve"> handelt, muss diese Abfrage nicht beantwortet werden.</w:t>
      </w:r>
    </w:p>
  </w:footnote>
  <w:footnote w:id="3">
    <w:p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Das Datenmanagement wird als gesichert betrachtet, wenn Vergleiche mit bezughabenden, bereits bestehenden</w:t>
      </w:r>
    </w:p>
    <w:p>
      <w:pPr>
        <w:pStyle w:val="Funotentext"/>
        <w:ind w:left="142"/>
        <w:rPr>
          <w:sz w:val="18"/>
        </w:rPr>
      </w:pPr>
      <w:r>
        <w:rPr>
          <w:sz w:val="18"/>
        </w:rPr>
        <w:t>Informationen möglich sind und die Fortführung von Zeitreihen erwartbar ist.</w:t>
      </w:r>
    </w:p>
  </w:footnote>
  <w:footnote w:id="4">
    <w:p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Spezifisch adäquate Erfahrungen für die Vermittlung der Projektergebnisse sind vom Förderwerber nachzuweisen.</w:t>
      </w:r>
    </w:p>
  </w:footnote>
  <w:footnote w:id="5">
    <w:p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Sofern es Synergien mit forstlichen Forschungs- und Ausbildungsstätten gibt, sind diese in der Projektbeschreibung da</w:t>
      </w:r>
      <w:r>
        <w:rPr>
          <w:sz w:val="18"/>
        </w:rPr>
        <w:t>r</w:t>
      </w:r>
      <w:r>
        <w:rPr>
          <w:sz w:val="18"/>
        </w:rPr>
        <w:t>zustellen.</w:t>
      </w:r>
    </w:p>
  </w:footnote>
  <w:footnote w:id="6">
    <w:p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Für bundesländerübergreifende Vorhaben bzw. Vorhaben mit bundesweiter Relevanz ist das BMLFUW die Bewilligende Stelle.</w:t>
      </w:r>
    </w:p>
  </w:footnote>
  <w:footnote w:id="7">
    <w:p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Hinweis: gem. Pkt. 21.5.5 der SRL LE-Projektförderungen werden Kosten für einen Grundankauf oder Anpachtungen nur bei Vorhaben von Nationalparkverwaltungen anerkannt.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0824-4C8A-4CE6-BAA8-52ABA4BF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Baumgartner Lukas (LF4)</cp:lastModifiedBy>
  <cp:revision>2</cp:revision>
  <cp:lastPrinted>2016-07-25T08:41:00Z</cp:lastPrinted>
  <dcterms:created xsi:type="dcterms:W3CDTF">2017-01-30T10:48:00Z</dcterms:created>
  <dcterms:modified xsi:type="dcterms:W3CDTF">2017-01-30T10:48:00Z</dcterms:modified>
</cp:coreProperties>
</file>